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120"/>
      </w:pPr>
      <w:r>
        <w:rPr>
          <w:b/>
          <w:color w:val="1A3C5E"/>
          <w:sz w:val="32"/>
        </w:rPr>
        <w:t>IDP LIMITED — TRAVEL &amp; EXPENSE REIMBURSEMENT POLICY</w:t>
      </w:r>
    </w:p>
    <w:tbl>
      <w:tblPr>
        <w:tblStyle w:val="TableGrid"/>
        <w:tblW w:type="auto" w:w="0"/>
        <w:tblLook w:firstColumn="1" w:firstRow="1" w:lastColumn="0" w:lastRow="0" w:noHBand="0" w:noVBand="1" w:val="04A0"/>
      </w:tblPr>
      <w:tblGrid>
        <w:gridCol w:w="9072"/>
      </w:tblGrid>
      <w:tr>
        <w:tc>
          <w:tcPr>
            <w:tcW w:type="dxa" w:w="9072"/>
            <w:shd w:fill="EBF3FB" w:val="clear"/>
          </w:tcPr>
          <w:p>
            <w:r/>
            <w:r>
              <w:rPr>
                <w:i/>
                <w:color w:val="1A3C5E"/>
                <w:sz w:val="20"/>
              </w:rPr>
              <w:t>Effective: 1 October 2025  |  Approved by: Board of Directors  |  Version: 2.1</w:t>
              <w:br/>
              <w:t>[SAMPLE — Generated using Microsoft Copilot in Word. Review and customise before use.]</w:t>
            </w:r>
          </w:p>
        </w:tc>
      </w:tr>
    </w:tbl>
    <w:p>
      <w:pPr>
        <w:spacing w:before="200" w:after="80"/>
      </w:pPr>
      <w:r>
        <w:rPr>
          <w:b/>
          <w:color w:val="2B7CB8"/>
          <w:sz w:val="26"/>
        </w:rPr>
        <w:t>1. Purpose</w:t>
      </w:r>
    </w:p>
    <w:p>
      <w:pPr>
        <w:spacing w:before="0" w:after="100"/>
      </w:pPr>
      <w:r>
        <w:rPr>
          <w:b w:val="0"/>
          <w:i w:val="0"/>
          <w:color w:val="333333"/>
          <w:sz w:val="22"/>
        </w:rPr>
        <w:t>This policy governs travel and expense reimbursement for IDP Limited employees undertaking business travel or incurring expenses on behalf of the Company. The policy aims to ensure consistent, fair, and controlled reimbursement while maintaining professional standards.</w:t>
      </w:r>
    </w:p>
    <w:p>
      <w:pPr>
        <w:spacing w:before="200" w:after="80"/>
      </w:pPr>
      <w:r>
        <w:rPr>
          <w:b/>
          <w:color w:val="2B7CB8"/>
          <w:sz w:val="26"/>
        </w:rPr>
        <w:t>2. Scope</w:t>
      </w:r>
    </w:p>
    <w:p>
      <w:pPr>
        <w:spacing w:before="0" w:after="100"/>
      </w:pPr>
      <w:r>
        <w:rPr>
          <w:b w:val="0"/>
          <w:i w:val="0"/>
          <w:color w:val="333333"/>
          <w:sz w:val="22"/>
        </w:rPr>
        <w:t>This policy applies to all permanent, contractual, and deputation employees of IDP Limited undertaking domestic or international travel on Company business.</w:t>
      </w:r>
    </w:p>
    <w:p>
      <w:pPr>
        <w:spacing w:before="200" w:after="80"/>
      </w:pPr>
      <w:r>
        <w:rPr>
          <w:b/>
          <w:color w:val="2B7CB8"/>
          <w:sz w:val="26"/>
        </w:rPr>
        <w:t>3. Approval Hierarchy</w:t>
      </w:r>
    </w:p>
    <w:tbl>
      <w:tblPr>
        <w:tblStyle w:val="TableGrid"/>
        <w:tblW w:type="auto" w:w="0"/>
        <w:tblLook w:firstColumn="1" w:firstRow="1" w:lastColumn="0" w:lastRow="0" w:noHBand="0" w:noVBand="1" w:val="04A0"/>
      </w:tblPr>
      <w:tblGrid>
        <w:gridCol w:w="3024"/>
        <w:gridCol w:w="3024"/>
        <w:gridCol w:w="3024"/>
      </w:tblGrid>
      <w:tr>
        <w:tc>
          <w:tcPr>
            <w:tcW w:type="dxa" w:w="2880"/>
            <w:shd w:fill="1A3C5E" w:val="clear"/>
          </w:tcPr>
          <w:p>
            <w:r/>
            <w:r>
              <w:rPr>
                <w:b/>
                <w:color w:val="FFFFFF"/>
                <w:sz w:val="20"/>
              </w:rPr>
              <w:t>Employee Grade</w:t>
            </w:r>
          </w:p>
        </w:tc>
        <w:tc>
          <w:tcPr>
            <w:tcW w:type="dxa" w:w="3600"/>
            <w:shd w:fill="1A3C5E" w:val="clear"/>
          </w:tcPr>
          <w:p>
            <w:r/>
            <w:r>
              <w:rPr>
                <w:b/>
                <w:color w:val="FFFFFF"/>
                <w:sz w:val="20"/>
              </w:rPr>
              <w:t>Travel Budget</w:t>
            </w:r>
          </w:p>
        </w:tc>
        <w:tc>
          <w:tcPr>
            <w:tcW w:type="dxa" w:w="4320"/>
            <w:shd w:fill="1A3C5E" w:val="clear"/>
          </w:tcPr>
          <w:p>
            <w:r/>
            <w:r>
              <w:rPr>
                <w:b/>
                <w:color w:val="FFFFFF"/>
                <w:sz w:val="20"/>
              </w:rPr>
              <w:t>Approval Authority</w:t>
            </w:r>
          </w:p>
        </w:tc>
      </w:tr>
      <w:tr>
        <w:tc>
          <w:tcPr>
            <w:tcW w:type="dxa" w:w="2880"/>
            <w:shd w:fill="F5F7FA" w:val="clear"/>
          </w:tcPr>
          <w:p>
            <w:r/>
            <w:r>
              <w:rPr>
                <w:sz w:val="20"/>
              </w:rPr>
              <w:t>Staff (Grade A-C)</w:t>
            </w:r>
          </w:p>
        </w:tc>
        <w:tc>
          <w:tcPr>
            <w:tcW w:type="dxa" w:w="3600"/>
            <w:shd w:fill="F5F7FA" w:val="clear"/>
          </w:tcPr>
          <w:p>
            <w:r/>
            <w:r>
              <w:rPr>
                <w:sz w:val="20"/>
              </w:rPr>
              <w:t>Up to Rs 25,000 per trip</w:t>
            </w:r>
          </w:p>
        </w:tc>
        <w:tc>
          <w:tcPr>
            <w:tcW w:type="dxa" w:w="4320"/>
            <w:shd w:fill="F5F7FA" w:val="clear"/>
          </w:tcPr>
          <w:p>
            <w:r/>
            <w:r>
              <w:rPr>
                <w:sz w:val="20"/>
              </w:rPr>
              <w:t>Department Head</w:t>
            </w:r>
          </w:p>
        </w:tc>
      </w:tr>
      <w:tr>
        <w:tc>
          <w:tcPr>
            <w:tcW w:type="dxa" w:w="2880"/>
            <w:shd w:fill="FFFFFF" w:val="clear"/>
          </w:tcPr>
          <w:p>
            <w:r/>
            <w:r>
              <w:rPr>
                <w:sz w:val="20"/>
              </w:rPr>
              <w:t>Manager (Grade D-E)</w:t>
            </w:r>
          </w:p>
        </w:tc>
        <w:tc>
          <w:tcPr>
            <w:tcW w:type="dxa" w:w="3600"/>
            <w:shd w:fill="FFFFFF" w:val="clear"/>
          </w:tcPr>
          <w:p>
            <w:r/>
            <w:r>
              <w:rPr>
                <w:sz w:val="20"/>
              </w:rPr>
              <w:t>Up to Rs 75,000 per trip</w:t>
            </w:r>
          </w:p>
        </w:tc>
        <w:tc>
          <w:tcPr>
            <w:tcW w:type="dxa" w:w="4320"/>
            <w:shd w:fill="FFFFFF" w:val="clear"/>
          </w:tcPr>
          <w:p>
            <w:r/>
            <w:r>
              <w:rPr>
                <w:sz w:val="20"/>
              </w:rPr>
              <w:t>Function Head / VP</w:t>
            </w:r>
          </w:p>
        </w:tc>
      </w:tr>
      <w:tr>
        <w:tc>
          <w:tcPr>
            <w:tcW w:type="dxa" w:w="2880"/>
            <w:shd w:fill="F5F7FA" w:val="clear"/>
          </w:tcPr>
          <w:p>
            <w:r/>
            <w:r>
              <w:rPr>
                <w:sz w:val="20"/>
              </w:rPr>
              <w:t>Senior Manager &amp; Above</w:t>
            </w:r>
          </w:p>
        </w:tc>
        <w:tc>
          <w:tcPr>
            <w:tcW w:type="dxa" w:w="3600"/>
            <w:shd w:fill="F5F7FA" w:val="clear"/>
          </w:tcPr>
          <w:p>
            <w:r/>
            <w:r>
              <w:rPr>
                <w:sz w:val="20"/>
              </w:rPr>
              <w:t>Up to Rs 1,50,000 per trip</w:t>
            </w:r>
          </w:p>
        </w:tc>
        <w:tc>
          <w:tcPr>
            <w:tcW w:type="dxa" w:w="4320"/>
            <w:shd w:fill="F5F7FA" w:val="clear"/>
          </w:tcPr>
          <w:p>
            <w:r/>
            <w:r>
              <w:rPr>
                <w:sz w:val="20"/>
              </w:rPr>
              <w:t>CFO</w:t>
            </w:r>
          </w:p>
        </w:tc>
      </w:tr>
      <w:tr>
        <w:tc>
          <w:tcPr>
            <w:tcW w:type="dxa" w:w="2880"/>
            <w:shd w:fill="FFFFFF" w:val="clear"/>
          </w:tcPr>
          <w:p>
            <w:r/>
            <w:r>
              <w:rPr>
                <w:sz w:val="20"/>
              </w:rPr>
              <w:t>C-Suite / Directors</w:t>
            </w:r>
          </w:p>
        </w:tc>
        <w:tc>
          <w:tcPr>
            <w:tcW w:type="dxa" w:w="3600"/>
            <w:shd w:fill="FFFFFF" w:val="clear"/>
          </w:tcPr>
          <w:p>
            <w:r/>
            <w:r>
              <w:rPr>
                <w:sz w:val="20"/>
              </w:rPr>
              <w:t>No upper limit</w:t>
            </w:r>
          </w:p>
        </w:tc>
        <w:tc>
          <w:tcPr>
            <w:tcW w:type="dxa" w:w="4320"/>
            <w:shd w:fill="FFFFFF" w:val="clear"/>
          </w:tcPr>
          <w:p>
            <w:r/>
            <w:r>
              <w:rPr>
                <w:sz w:val="20"/>
              </w:rPr>
              <w:t>Board / Audit Committee</w:t>
            </w:r>
          </w:p>
        </w:tc>
      </w:tr>
      <w:tr>
        <w:tc>
          <w:tcPr>
            <w:tcW w:type="dxa" w:w="2880"/>
            <w:shd w:fill="F5F7FA" w:val="clear"/>
          </w:tcPr>
          <w:p>
            <w:r/>
            <w:r>
              <w:rPr>
                <w:sz w:val="20"/>
              </w:rPr>
              <w:t>All grades — International travel</w:t>
            </w:r>
          </w:p>
        </w:tc>
        <w:tc>
          <w:tcPr>
            <w:tcW w:type="dxa" w:w="3600"/>
            <w:shd w:fill="F5F7FA" w:val="clear"/>
          </w:tcPr>
          <w:p>
            <w:r/>
            <w:r>
              <w:rPr>
                <w:sz w:val="20"/>
              </w:rPr>
              <w:t>Any amount</w:t>
            </w:r>
          </w:p>
        </w:tc>
        <w:tc>
          <w:tcPr>
            <w:tcW w:type="dxa" w:w="4320"/>
            <w:shd w:fill="F5F7FA" w:val="clear"/>
          </w:tcPr>
          <w:p>
            <w:r/>
            <w:r>
              <w:rPr>
                <w:sz w:val="20"/>
              </w:rPr>
              <w:t>CFO + MD</w:t>
            </w:r>
          </w:p>
        </w:tc>
      </w:tr>
    </w:tbl>
    <w:p>
      <w:pPr>
        <w:spacing w:before="200" w:after="80"/>
      </w:pPr>
      <w:r>
        <w:rPr>
          <w:b/>
          <w:color w:val="2B7CB8"/>
          <w:sz w:val="26"/>
        </w:rPr>
        <w:t>4. Eligible Expenses and Limits</w:t>
      </w:r>
    </w:p>
    <w:tbl>
      <w:tblPr>
        <w:tblStyle w:val="TableGrid"/>
        <w:tblW w:type="auto" w:w="0"/>
        <w:tblLook w:firstColumn="1" w:firstRow="1" w:lastColumn="0" w:lastRow="0" w:noHBand="0" w:noVBand="1" w:val="04A0"/>
      </w:tblPr>
      <w:tblGrid>
        <w:gridCol w:w="2268"/>
        <w:gridCol w:w="2268"/>
        <w:gridCol w:w="2268"/>
        <w:gridCol w:w="2268"/>
      </w:tblGrid>
      <w:tr>
        <w:tc>
          <w:tcPr>
            <w:tcW w:type="dxa" w:w="2592"/>
            <w:shd w:fill="1A3C5E" w:val="clear"/>
          </w:tcPr>
          <w:p>
            <w:r/>
            <w:r>
              <w:rPr>
                <w:b/>
                <w:color w:val="FFFFFF"/>
                <w:sz w:val="20"/>
              </w:rPr>
              <w:t>Expense Category</w:t>
            </w:r>
          </w:p>
        </w:tc>
        <w:tc>
          <w:tcPr>
            <w:tcW w:type="dxa" w:w="2160"/>
            <w:shd w:fill="1A3C5E" w:val="clear"/>
          </w:tcPr>
          <w:p>
            <w:r/>
            <w:r>
              <w:rPr>
                <w:b/>
                <w:color w:val="FFFFFF"/>
                <w:sz w:val="20"/>
              </w:rPr>
              <w:t>Eligibility</w:t>
            </w:r>
          </w:p>
        </w:tc>
        <w:tc>
          <w:tcPr>
            <w:tcW w:type="dxa" w:w="2448"/>
            <w:shd w:fill="1A3C5E" w:val="clear"/>
          </w:tcPr>
          <w:p>
            <w:r/>
            <w:r>
              <w:rPr>
                <w:b/>
                <w:color w:val="FFFFFF"/>
                <w:sz w:val="20"/>
              </w:rPr>
              <w:t>Limit</w:t>
            </w:r>
          </w:p>
        </w:tc>
        <w:tc>
          <w:tcPr>
            <w:tcW w:type="dxa" w:w="3600"/>
            <w:shd w:fill="1A3C5E" w:val="clear"/>
          </w:tcPr>
          <w:p>
            <w:r/>
            <w:r>
              <w:rPr>
                <w:b/>
                <w:color w:val="FFFFFF"/>
                <w:sz w:val="20"/>
              </w:rPr>
              <w:t>Documentation</w:t>
            </w:r>
          </w:p>
        </w:tc>
      </w:tr>
      <w:tr>
        <w:tc>
          <w:tcPr>
            <w:tcW w:type="dxa" w:w="2592"/>
            <w:shd w:fill="F5F7FA" w:val="clear"/>
          </w:tcPr>
          <w:p>
            <w:r/>
            <w:r>
              <w:rPr>
                <w:sz w:val="20"/>
              </w:rPr>
              <w:t>Air Travel</w:t>
            </w:r>
          </w:p>
        </w:tc>
        <w:tc>
          <w:tcPr>
            <w:tcW w:type="dxa" w:w="2160"/>
            <w:shd w:fill="F5F7FA" w:val="clear"/>
          </w:tcPr>
          <w:p>
            <w:r/>
            <w:r>
              <w:rPr>
                <w:sz w:val="20"/>
              </w:rPr>
              <w:t>Business class for VP and above; Economy for others</w:t>
            </w:r>
          </w:p>
        </w:tc>
        <w:tc>
          <w:tcPr>
            <w:tcW w:type="dxa" w:w="2448"/>
            <w:shd w:fill="F5F7FA" w:val="clear"/>
          </w:tcPr>
          <w:p>
            <w:r/>
            <w:r>
              <w:rPr>
                <w:sz w:val="20"/>
              </w:rPr>
              <w:t>As per approved fare</w:t>
            </w:r>
          </w:p>
        </w:tc>
        <w:tc>
          <w:tcPr>
            <w:tcW w:type="dxa" w:w="3600"/>
            <w:shd w:fill="F5F7FA" w:val="clear"/>
          </w:tcPr>
          <w:p>
            <w:r/>
            <w:r>
              <w:rPr>
                <w:sz w:val="20"/>
              </w:rPr>
              <w:t>Booking confirmation + boarding pass</w:t>
            </w:r>
          </w:p>
        </w:tc>
      </w:tr>
      <w:tr>
        <w:tc>
          <w:tcPr>
            <w:tcW w:type="dxa" w:w="2592"/>
            <w:shd w:fill="FFFFFF" w:val="clear"/>
          </w:tcPr>
          <w:p>
            <w:r/>
            <w:r>
              <w:rPr>
                <w:sz w:val="20"/>
              </w:rPr>
              <w:t>Train Travel</w:t>
            </w:r>
          </w:p>
        </w:tc>
        <w:tc>
          <w:tcPr>
            <w:tcW w:type="dxa" w:w="2160"/>
            <w:shd w:fill="FFFFFF" w:val="clear"/>
          </w:tcPr>
          <w:p>
            <w:r/>
            <w:r>
              <w:rPr>
                <w:sz w:val="20"/>
              </w:rPr>
              <w:t>AC First Class for Senior Manager+; AC 2-Tier for others</w:t>
            </w:r>
          </w:p>
        </w:tc>
        <w:tc>
          <w:tcPr>
            <w:tcW w:type="dxa" w:w="2448"/>
            <w:shd w:fill="FFFFFF" w:val="clear"/>
          </w:tcPr>
          <w:p>
            <w:r/>
            <w:r>
              <w:rPr>
                <w:sz w:val="20"/>
              </w:rPr>
              <w:t>As per travel</w:t>
            </w:r>
          </w:p>
        </w:tc>
        <w:tc>
          <w:tcPr>
            <w:tcW w:type="dxa" w:w="3600"/>
            <w:shd w:fill="FFFFFF" w:val="clear"/>
          </w:tcPr>
          <w:p>
            <w:r/>
            <w:r>
              <w:rPr>
                <w:sz w:val="20"/>
              </w:rPr>
              <w:t>E-ticket copy</w:t>
            </w:r>
          </w:p>
        </w:tc>
      </w:tr>
      <w:tr>
        <w:tc>
          <w:tcPr>
            <w:tcW w:type="dxa" w:w="2592"/>
            <w:shd w:fill="F5F7FA" w:val="clear"/>
          </w:tcPr>
          <w:p>
            <w:r/>
            <w:r>
              <w:rPr>
                <w:sz w:val="20"/>
              </w:rPr>
              <w:t>Hotel — Metro Cities</w:t>
            </w:r>
          </w:p>
        </w:tc>
        <w:tc>
          <w:tcPr>
            <w:tcW w:type="dxa" w:w="2160"/>
            <w:shd w:fill="F5F7FA" w:val="clear"/>
          </w:tcPr>
          <w:p>
            <w:r/>
            <w:r>
              <w:rPr>
                <w:sz w:val="20"/>
              </w:rPr>
              <w:t>Single room standard</w:t>
            </w:r>
          </w:p>
        </w:tc>
        <w:tc>
          <w:tcPr>
            <w:tcW w:type="dxa" w:w="2448"/>
            <w:shd w:fill="F5F7FA" w:val="clear"/>
          </w:tcPr>
          <w:p>
            <w:r/>
            <w:r>
              <w:rPr>
                <w:sz w:val="20"/>
              </w:rPr>
              <w:t>Rs 6,000/night (Manager+); Rs 4,000 (others)</w:t>
            </w:r>
          </w:p>
        </w:tc>
        <w:tc>
          <w:tcPr>
            <w:tcW w:type="dxa" w:w="3600"/>
            <w:shd w:fill="F5F7FA" w:val="clear"/>
          </w:tcPr>
          <w:p>
            <w:r/>
            <w:r>
              <w:rPr>
                <w:sz w:val="20"/>
              </w:rPr>
              <w:t>GST invoice in company name</w:t>
            </w:r>
          </w:p>
        </w:tc>
      </w:tr>
      <w:tr>
        <w:tc>
          <w:tcPr>
            <w:tcW w:type="dxa" w:w="2592"/>
            <w:shd w:fill="FFFFFF" w:val="clear"/>
          </w:tcPr>
          <w:p>
            <w:r/>
            <w:r>
              <w:rPr>
                <w:sz w:val="20"/>
              </w:rPr>
              <w:t>Hotel — Non-Metro</w:t>
            </w:r>
          </w:p>
        </w:tc>
        <w:tc>
          <w:tcPr>
            <w:tcW w:type="dxa" w:w="2160"/>
            <w:shd w:fill="FFFFFF" w:val="clear"/>
          </w:tcPr>
          <w:p>
            <w:r/>
            <w:r>
              <w:rPr>
                <w:sz w:val="20"/>
              </w:rPr>
              <w:t>Single room standard</w:t>
            </w:r>
          </w:p>
        </w:tc>
        <w:tc>
          <w:tcPr>
            <w:tcW w:type="dxa" w:w="2448"/>
            <w:shd w:fill="FFFFFF" w:val="clear"/>
          </w:tcPr>
          <w:p>
            <w:r/>
            <w:r>
              <w:rPr>
                <w:sz w:val="20"/>
              </w:rPr>
              <w:t>Rs 4,000/night (Manager+); Rs 2,500 (others)</w:t>
            </w:r>
          </w:p>
        </w:tc>
        <w:tc>
          <w:tcPr>
            <w:tcW w:type="dxa" w:w="3600"/>
            <w:shd w:fill="FFFFFF" w:val="clear"/>
          </w:tcPr>
          <w:p>
            <w:r/>
            <w:r>
              <w:rPr>
                <w:sz w:val="20"/>
              </w:rPr>
              <w:t>GST invoice in company name</w:t>
            </w:r>
          </w:p>
        </w:tc>
      </w:tr>
      <w:tr>
        <w:tc>
          <w:tcPr>
            <w:tcW w:type="dxa" w:w="2592"/>
            <w:shd w:fill="F5F7FA" w:val="clear"/>
          </w:tcPr>
          <w:p>
            <w:r/>
            <w:r>
              <w:rPr>
                <w:sz w:val="20"/>
              </w:rPr>
              <w:t>Local Conveyance</w:t>
            </w:r>
          </w:p>
        </w:tc>
        <w:tc>
          <w:tcPr>
            <w:tcW w:type="dxa" w:w="2160"/>
            <w:shd w:fill="F5F7FA" w:val="clear"/>
          </w:tcPr>
          <w:p>
            <w:r/>
            <w:r>
              <w:rPr>
                <w:sz w:val="20"/>
              </w:rPr>
              <w:t>Taxi/cab for official work</w:t>
            </w:r>
          </w:p>
        </w:tc>
        <w:tc>
          <w:tcPr>
            <w:tcW w:type="dxa" w:w="2448"/>
            <w:shd w:fill="F5F7FA" w:val="clear"/>
          </w:tcPr>
          <w:p>
            <w:r/>
            <w:r>
              <w:rPr>
                <w:sz w:val="20"/>
              </w:rPr>
              <w:t>Actual with receipt</w:t>
            </w:r>
          </w:p>
        </w:tc>
        <w:tc>
          <w:tcPr>
            <w:tcW w:type="dxa" w:w="3600"/>
            <w:shd w:fill="F5F7FA" w:val="clear"/>
          </w:tcPr>
          <w:p>
            <w:r/>
            <w:r>
              <w:rPr>
                <w:sz w:val="20"/>
              </w:rPr>
              <w:t>Cab receipt / Ola/Uber invoice</w:t>
            </w:r>
          </w:p>
        </w:tc>
      </w:tr>
      <w:tr>
        <w:tc>
          <w:tcPr>
            <w:tcW w:type="dxa" w:w="2592"/>
            <w:shd w:fill="FFFFFF" w:val="clear"/>
          </w:tcPr>
          <w:p>
            <w:r/>
            <w:r>
              <w:rPr>
                <w:sz w:val="20"/>
              </w:rPr>
              <w:t>Meals</w:t>
            </w:r>
          </w:p>
        </w:tc>
        <w:tc>
          <w:tcPr>
            <w:tcW w:type="dxa" w:w="2160"/>
            <w:shd w:fill="FFFFFF" w:val="clear"/>
          </w:tcPr>
          <w:p>
            <w:r/>
            <w:r>
              <w:rPr>
                <w:sz w:val="20"/>
              </w:rPr>
              <w:t>All meals during travel days</w:t>
            </w:r>
          </w:p>
        </w:tc>
        <w:tc>
          <w:tcPr>
            <w:tcW w:type="dxa" w:w="2448"/>
            <w:shd w:fill="FFFFFF" w:val="clear"/>
          </w:tcPr>
          <w:p>
            <w:r/>
            <w:r>
              <w:rPr>
                <w:sz w:val="20"/>
              </w:rPr>
              <w:t>Rs 1,500/day (Manager+); Rs 1,000/day (others)</w:t>
            </w:r>
          </w:p>
        </w:tc>
        <w:tc>
          <w:tcPr>
            <w:tcW w:type="dxa" w:w="3600"/>
            <w:shd w:fill="FFFFFF" w:val="clear"/>
          </w:tcPr>
          <w:p>
            <w:r/>
            <w:r>
              <w:rPr>
                <w:sz w:val="20"/>
              </w:rPr>
              <w:t>Receipt for &gt;Rs 500</w:t>
            </w:r>
          </w:p>
        </w:tc>
      </w:tr>
      <w:tr>
        <w:tc>
          <w:tcPr>
            <w:tcW w:type="dxa" w:w="2592"/>
            <w:shd w:fill="F5F7FA" w:val="clear"/>
          </w:tcPr>
          <w:p>
            <w:r/>
            <w:r>
              <w:rPr>
                <w:sz w:val="20"/>
              </w:rPr>
              <w:t>International Meals</w:t>
            </w:r>
          </w:p>
        </w:tc>
        <w:tc>
          <w:tcPr>
            <w:tcW w:type="dxa" w:w="2160"/>
            <w:shd w:fill="F5F7FA" w:val="clear"/>
          </w:tcPr>
          <w:p>
            <w:r/>
            <w:r>
              <w:rPr>
                <w:sz w:val="20"/>
              </w:rPr>
              <w:t>All meals — international trips</w:t>
            </w:r>
          </w:p>
        </w:tc>
        <w:tc>
          <w:tcPr>
            <w:tcW w:type="dxa" w:w="2448"/>
            <w:shd w:fill="F5F7FA" w:val="clear"/>
          </w:tcPr>
          <w:p>
            <w:r/>
            <w:r>
              <w:rPr>
                <w:sz w:val="20"/>
              </w:rPr>
              <w:t>USD 75 per day (actual)</w:t>
            </w:r>
          </w:p>
        </w:tc>
        <w:tc>
          <w:tcPr>
            <w:tcW w:type="dxa" w:w="3600"/>
            <w:shd w:fill="F5F7FA" w:val="clear"/>
          </w:tcPr>
          <w:p>
            <w:r/>
            <w:r>
              <w:rPr>
                <w:sz w:val="20"/>
              </w:rPr>
              <w:t>Original receipts</w:t>
            </w:r>
          </w:p>
        </w:tc>
      </w:tr>
      <w:tr>
        <w:tc>
          <w:tcPr>
            <w:tcW w:type="dxa" w:w="2592"/>
            <w:shd w:fill="FFFFFF" w:val="clear"/>
          </w:tcPr>
          <w:p>
            <w:r/>
            <w:r>
              <w:rPr>
                <w:sz w:val="20"/>
              </w:rPr>
              <w:t>Laundry</w:t>
            </w:r>
          </w:p>
        </w:tc>
        <w:tc>
          <w:tcPr>
            <w:tcW w:type="dxa" w:w="2160"/>
            <w:shd w:fill="FFFFFF" w:val="clear"/>
          </w:tcPr>
          <w:p>
            <w:r/>
            <w:r>
              <w:rPr>
                <w:sz w:val="20"/>
              </w:rPr>
              <w:t>Extended stays &gt; 5 days</w:t>
            </w:r>
          </w:p>
        </w:tc>
        <w:tc>
          <w:tcPr>
            <w:tcW w:type="dxa" w:w="2448"/>
            <w:shd w:fill="FFFFFF" w:val="clear"/>
          </w:tcPr>
          <w:p>
            <w:r/>
            <w:r>
              <w:rPr>
                <w:sz w:val="20"/>
              </w:rPr>
              <w:t>Rs 500/day max</w:t>
            </w:r>
          </w:p>
        </w:tc>
        <w:tc>
          <w:tcPr>
            <w:tcW w:type="dxa" w:w="3600"/>
            <w:shd w:fill="FFFFFF" w:val="clear"/>
          </w:tcPr>
          <w:p>
            <w:r/>
            <w:r>
              <w:rPr>
                <w:sz w:val="20"/>
              </w:rPr>
              <w:t>Receipt</w:t>
            </w:r>
          </w:p>
        </w:tc>
      </w:tr>
    </w:tbl>
    <w:p>
      <w:pPr>
        <w:spacing w:before="200" w:after="80"/>
      </w:pPr>
      <w:r>
        <w:rPr>
          <w:b/>
          <w:color w:val="2B7CB8"/>
          <w:sz w:val="26"/>
        </w:rPr>
        <w:t>5. Non-Reimbursable Expenses</w:t>
      </w:r>
    </w:p>
    <w:p>
      <w:pPr>
        <w:pStyle w:val="ListBullet"/>
        <w:spacing w:after="60"/>
      </w:pPr>
      <w:r>
        <w:rPr>
          <w:b w:val="0"/>
          <w:sz w:val="22"/>
        </w:rPr>
        <w:t>Personal expenses (entertainment, personal shopping, personal phone calls)</w:t>
      </w:r>
    </w:p>
    <w:p>
      <w:pPr>
        <w:pStyle w:val="ListBullet"/>
        <w:spacing w:after="60"/>
      </w:pPr>
      <w:r>
        <w:rPr>
          <w:b w:val="0"/>
          <w:sz w:val="22"/>
        </w:rPr>
        <w:t>Alcohol and tobacco</w:t>
      </w:r>
    </w:p>
    <w:p>
      <w:pPr>
        <w:pStyle w:val="ListBullet"/>
        <w:spacing w:after="60"/>
      </w:pPr>
      <w:r>
        <w:rPr>
          <w:b w:val="0"/>
          <w:sz w:val="22"/>
        </w:rPr>
        <w:t>Traffic fines and penalties</w:t>
      </w:r>
    </w:p>
    <w:p>
      <w:pPr>
        <w:pStyle w:val="ListBullet"/>
        <w:spacing w:after="60"/>
      </w:pPr>
      <w:r>
        <w:rPr>
          <w:b w:val="0"/>
          <w:sz w:val="22"/>
        </w:rPr>
        <w:t>Expenses incurred by spouse or family members</w:t>
      </w:r>
    </w:p>
    <w:p>
      <w:pPr>
        <w:pStyle w:val="ListBullet"/>
        <w:spacing w:after="60"/>
      </w:pPr>
      <w:r>
        <w:rPr>
          <w:b w:val="0"/>
          <w:sz w:val="22"/>
        </w:rPr>
        <w:t>Upgrades to business class without prior approval</w:t>
      </w:r>
    </w:p>
    <w:p>
      <w:pPr>
        <w:pStyle w:val="ListBullet"/>
        <w:spacing w:after="60"/>
      </w:pPr>
      <w:r>
        <w:rPr>
          <w:b w:val="0"/>
          <w:sz w:val="22"/>
        </w:rPr>
        <w:t>Expenses incurred on cancelled or postponed trips without prior approval</w:t>
      </w:r>
    </w:p>
    <w:p>
      <w:pPr>
        <w:spacing w:before="200" w:after="80"/>
      </w:pPr>
      <w:r>
        <w:rPr>
          <w:b/>
          <w:color w:val="2B7CB8"/>
          <w:sz w:val="26"/>
        </w:rPr>
        <w:t>6. Submission and Reimbursement Timeline</w:t>
      </w:r>
    </w:p>
    <w:p>
      <w:pPr>
        <w:pStyle w:val="ListBullet"/>
        <w:spacing w:after="60"/>
      </w:pPr>
      <w:r>
        <w:rPr>
          <w:b w:val="0"/>
          <w:sz w:val="22"/>
        </w:rPr>
        <w:t>Submit expense claim with receipts within 15 working days of return from travel</w:t>
      </w:r>
    </w:p>
    <w:p>
      <w:pPr>
        <w:pStyle w:val="ListBullet"/>
        <w:spacing w:after="60"/>
      </w:pPr>
      <w:r>
        <w:rPr>
          <w:b w:val="0"/>
          <w:sz w:val="22"/>
        </w:rPr>
        <w:t>Claims submitted after 30 days may not be reimbursed without CFO approval</w:t>
      </w:r>
    </w:p>
    <w:p>
      <w:pPr>
        <w:pStyle w:val="ListBullet"/>
        <w:spacing w:after="60"/>
      </w:pPr>
      <w:r>
        <w:rPr>
          <w:b w:val="0"/>
          <w:sz w:val="22"/>
        </w:rPr>
        <w:t>Reimbursement processed within 7 working days of approved claim submission</w:t>
      </w:r>
    </w:p>
    <w:p>
      <w:pPr>
        <w:pStyle w:val="ListBullet"/>
        <w:spacing w:after="60"/>
      </w:pPr>
      <w:r>
        <w:rPr>
          <w:b w:val="0"/>
          <w:sz w:val="22"/>
        </w:rPr>
        <w:t>Claims must be submitted on the Company's expense management system (ERP) with scanned receipts</w:t>
      </w:r>
    </w:p>
    <w:p>
      <w:pPr>
        <w:spacing w:before="200" w:after="80"/>
      </w:pPr>
      <w:r>
        <w:rPr>
          <w:b/>
          <w:color w:val="2B7CB8"/>
          <w:sz w:val="26"/>
        </w:rPr>
        <w:t>7. GST Compliance</w:t>
      </w:r>
    </w:p>
    <w:p>
      <w:pPr>
        <w:spacing w:before="0" w:after="100"/>
      </w:pPr>
      <w:r>
        <w:rPr>
          <w:b w:val="0"/>
          <w:i w:val="0"/>
          <w:color w:val="333333"/>
          <w:sz w:val="22"/>
        </w:rPr>
        <w:t>Employees must ensure hotel and vendor invoices are in the Company's name and GSTIN (07AACCI1234P1ZX) to enable ITC claim. Personal name invoices will not be reimbursed at GST value.</w:t>
      </w:r>
    </w:p>
    <w:sectPr w:rsidR="00FC693F" w:rsidRPr="0006063C" w:rsidSect="00034616">
      <w:pgSz w:w="12240" w:h="15840"/>
      <w:pgMar w:top="1440" w:right="1584" w:bottom="1440"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